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C3B" w:rsidRDefault="00951C3B" w:rsidP="00951C3B">
      <w:pPr>
        <w:spacing w:before="100" w:beforeAutospacing="1" w:after="100" w:afterAutospacing="1"/>
      </w:pPr>
      <w:bookmarkStart w:id="0" w:name="_GoBack"/>
      <w:bookmarkEnd w:id="0"/>
      <w:r>
        <w:rPr>
          <w:noProof/>
        </w:rPr>
        <w:drawing>
          <wp:inline distT="0" distB="0" distL="0" distR="0">
            <wp:extent cx="4733925" cy="676275"/>
            <wp:effectExtent l="19050" t="0" r="9525" b="0"/>
            <wp:docPr id="1" name="Picture 2" descr="logo_UCLA_RAPID_standa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UCLA_RAPID_standard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1C3B" w:rsidRDefault="001365EE" w:rsidP="00C36824">
      <w:pPr>
        <w:spacing w:before="100" w:beforeAutospacing="1" w:after="100" w:afterAutospacing="1"/>
      </w:pPr>
      <w:r>
        <w:t>Subject:</w:t>
      </w:r>
      <w:r w:rsidR="00C36824">
        <w:t xml:space="preserve">  </w:t>
      </w:r>
      <w:r>
        <w:t>Research Fund Closeout Process</w:t>
      </w:r>
      <w:r w:rsidR="00951C3B">
        <w:t> </w:t>
      </w:r>
    </w:p>
    <w:p w:rsidR="00291A5C" w:rsidRDefault="00B70745" w:rsidP="00291A5C">
      <w:pPr>
        <w:spacing w:before="100" w:beforeAutospacing="1" w:after="100" w:afterAutospacing="1"/>
      </w:pPr>
      <w:r>
        <w:t>Dear Collea</w:t>
      </w:r>
      <w:r w:rsidR="00CE7557">
        <w:t>gues,</w:t>
      </w:r>
    </w:p>
    <w:p w:rsidR="00214209" w:rsidRDefault="00214209" w:rsidP="00291A5C">
      <w:pPr>
        <w:spacing w:before="100" w:beforeAutospacing="1" w:after="100" w:afterAutospacing="1"/>
      </w:pPr>
      <w:r>
        <w:t>We have been experiencing wonderful success with our</w:t>
      </w:r>
      <w:r w:rsidR="00B53CD0">
        <w:t xml:space="preserve"> research fund account</w:t>
      </w:r>
      <w:r>
        <w:t xml:space="preserve"> Smart Closeout Tool over the last </w:t>
      </w:r>
      <w:r w:rsidR="00B53CD0">
        <w:t xml:space="preserve">several </w:t>
      </w:r>
      <w:r>
        <w:t xml:space="preserve">months. </w:t>
      </w:r>
      <w:r w:rsidR="00B53CD0">
        <w:t xml:space="preserve"> </w:t>
      </w:r>
      <w:r w:rsidR="00D7163C">
        <w:t>Use</w:t>
      </w:r>
      <w:r>
        <w:t xml:space="preserve"> of the tool has </w:t>
      </w:r>
      <w:r w:rsidRPr="00214209">
        <w:rPr>
          <w:b/>
        </w:rPr>
        <w:t>increased to 9</w:t>
      </w:r>
      <w:r w:rsidR="00713BB7">
        <w:rPr>
          <w:b/>
        </w:rPr>
        <w:t>9</w:t>
      </w:r>
      <w:r w:rsidRPr="00214209">
        <w:rPr>
          <w:b/>
        </w:rPr>
        <w:t>% of all closeouts</w:t>
      </w:r>
      <w:r>
        <w:t xml:space="preserve"> submitted to EFM</w:t>
      </w:r>
      <w:r w:rsidR="00B53CD0">
        <w:t>,</w:t>
      </w:r>
      <w:r>
        <w:t xml:space="preserve"> and we continue to hear positive feedback on the tool’s usefulness in communicating final figures </w:t>
      </w:r>
      <w:r w:rsidR="00B53CD0">
        <w:t xml:space="preserve">among </w:t>
      </w:r>
      <w:r>
        <w:t xml:space="preserve">fund </w:t>
      </w:r>
      <w:r w:rsidR="00B53CD0">
        <w:t xml:space="preserve">managers and fund </w:t>
      </w:r>
      <w:r>
        <w:t xml:space="preserve">accountants. </w:t>
      </w:r>
    </w:p>
    <w:p w:rsidR="00291A5C" w:rsidRDefault="00B53CD0" w:rsidP="00291A5C">
      <w:pPr>
        <w:spacing w:before="100" w:beforeAutospacing="1" w:after="100" w:afterAutospacing="1"/>
      </w:pPr>
      <w:r>
        <w:t xml:space="preserve">The RAPID workgroup that developed the Smart Closeout Tool also established deadlines for </w:t>
      </w:r>
      <w:r w:rsidR="006D0B70">
        <w:t xml:space="preserve">submission </w:t>
      </w:r>
      <w:r>
        <w:t xml:space="preserve">of fund closeout packets </w:t>
      </w:r>
      <w:r w:rsidR="006D0B70">
        <w:t>to EFM and</w:t>
      </w:r>
      <w:r>
        <w:t xml:space="preserve"> procedures for </w:t>
      </w:r>
      <w:r w:rsidR="00D43656">
        <w:t xml:space="preserve">PI certification of financial reports and invoices </w:t>
      </w:r>
      <w:r>
        <w:t xml:space="preserve">as set out </w:t>
      </w:r>
      <w:r w:rsidR="00D43656">
        <w:t>below</w:t>
      </w:r>
      <w:r>
        <w:t>.</w:t>
      </w:r>
    </w:p>
    <w:p w:rsidR="00B53CD0" w:rsidRDefault="00214209" w:rsidP="00B53CD0">
      <w:pPr>
        <w:rPr>
          <w:sz w:val="28"/>
          <w:szCs w:val="28"/>
        </w:rPr>
      </w:pPr>
      <w:r w:rsidRPr="00B53CD0">
        <w:rPr>
          <w:b/>
          <w:sz w:val="28"/>
          <w:szCs w:val="28"/>
        </w:rPr>
        <w:t xml:space="preserve">Due Dates </w:t>
      </w:r>
      <w:r w:rsidR="00B53CD0">
        <w:rPr>
          <w:b/>
          <w:sz w:val="28"/>
          <w:szCs w:val="28"/>
        </w:rPr>
        <w:t xml:space="preserve">for </w:t>
      </w:r>
      <w:r w:rsidRPr="00B53CD0">
        <w:rPr>
          <w:b/>
          <w:sz w:val="28"/>
          <w:szCs w:val="28"/>
        </w:rPr>
        <w:t>Closeout Packets</w:t>
      </w:r>
      <w:r w:rsidRPr="00B53CD0">
        <w:rPr>
          <w:sz w:val="28"/>
          <w:szCs w:val="28"/>
        </w:rPr>
        <w:t>:</w:t>
      </w:r>
    </w:p>
    <w:p w:rsidR="00B53CD0" w:rsidRDefault="00B53CD0" w:rsidP="00B53CD0"/>
    <w:p w:rsidR="00D43656" w:rsidRDefault="00D43656" w:rsidP="00B53CD0">
      <w:r>
        <w:t xml:space="preserve">Closeout </w:t>
      </w:r>
      <w:r w:rsidR="00B53CD0">
        <w:t>p</w:t>
      </w:r>
      <w:r>
        <w:t>ackets are due to EFM in advance of the sponsor due date.</w:t>
      </w:r>
      <w:r w:rsidR="00B53CD0">
        <w:t xml:space="preserve">  </w:t>
      </w:r>
      <w:r>
        <w:t xml:space="preserve">Please see the chart below to assist in determining </w:t>
      </w:r>
      <w:r w:rsidR="00B53CD0">
        <w:t xml:space="preserve">the deadline for submitting </w:t>
      </w:r>
      <w:r>
        <w:t>closeout packet</w:t>
      </w:r>
      <w:r w:rsidR="00B53CD0">
        <w:t>s to EFM</w:t>
      </w:r>
      <w:r>
        <w:t xml:space="preserve">. </w:t>
      </w:r>
    </w:p>
    <w:p w:rsidR="00B53CD0" w:rsidRDefault="00B53CD0" w:rsidP="00B53CD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6366"/>
      </w:tblGrid>
      <w:tr w:rsidR="00D43656" w:rsidTr="000C717A">
        <w:tc>
          <w:tcPr>
            <w:tcW w:w="3192" w:type="dxa"/>
          </w:tcPr>
          <w:p w:rsidR="00D43656" w:rsidRPr="00E0733C" w:rsidRDefault="008C58B6" w:rsidP="00951C3B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 xml:space="preserve">If the </w:t>
            </w:r>
            <w:r w:rsidR="00D43656" w:rsidRPr="00E0733C">
              <w:rPr>
                <w:b/>
              </w:rPr>
              <w:t xml:space="preserve">Report </w:t>
            </w:r>
            <w:r w:rsidR="00E72C74">
              <w:rPr>
                <w:b/>
              </w:rPr>
              <w:t xml:space="preserve">is </w:t>
            </w:r>
            <w:r w:rsidR="00D43656" w:rsidRPr="00E0733C">
              <w:rPr>
                <w:b/>
              </w:rPr>
              <w:t xml:space="preserve">Due to </w:t>
            </w:r>
            <w:r w:rsidR="00E72C74">
              <w:rPr>
                <w:b/>
              </w:rPr>
              <w:t xml:space="preserve">the </w:t>
            </w:r>
            <w:r w:rsidR="00D43656" w:rsidRPr="00E0733C">
              <w:rPr>
                <w:b/>
              </w:rPr>
              <w:t>Sponsor</w:t>
            </w:r>
            <w:r>
              <w:rPr>
                <w:b/>
              </w:rPr>
              <w:t>…</w:t>
            </w:r>
          </w:p>
        </w:tc>
        <w:tc>
          <w:tcPr>
            <w:tcW w:w="6366" w:type="dxa"/>
          </w:tcPr>
          <w:p w:rsidR="00D43656" w:rsidRPr="00E0733C" w:rsidRDefault="008C58B6" w:rsidP="00E32DD6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 xml:space="preserve">Then the </w:t>
            </w:r>
            <w:r w:rsidR="00E32DD6">
              <w:rPr>
                <w:b/>
              </w:rPr>
              <w:t xml:space="preserve">Closeout Packet </w:t>
            </w:r>
            <w:r>
              <w:rPr>
                <w:b/>
              </w:rPr>
              <w:t>is</w:t>
            </w:r>
            <w:r w:rsidR="00D43656" w:rsidRPr="00E0733C">
              <w:rPr>
                <w:b/>
              </w:rPr>
              <w:t xml:space="preserve"> Due to EFM</w:t>
            </w:r>
            <w:r>
              <w:rPr>
                <w:b/>
              </w:rPr>
              <w:t>…</w:t>
            </w:r>
          </w:p>
        </w:tc>
      </w:tr>
      <w:tr w:rsidR="00D43656" w:rsidTr="000C717A">
        <w:tc>
          <w:tcPr>
            <w:tcW w:w="3192" w:type="dxa"/>
          </w:tcPr>
          <w:p w:rsidR="00D43656" w:rsidRDefault="00AB0C14" w:rsidP="00B5463E">
            <w:pPr>
              <w:spacing w:before="100" w:beforeAutospacing="1" w:after="100" w:afterAutospacing="1"/>
            </w:pPr>
            <w:r>
              <w:t>60</w:t>
            </w:r>
            <w:r w:rsidR="00A23BFB">
              <w:t xml:space="preserve"> </w:t>
            </w:r>
            <w:r w:rsidR="00D43656">
              <w:t xml:space="preserve"> </w:t>
            </w:r>
            <w:r>
              <w:t>d</w:t>
            </w:r>
            <w:r w:rsidR="00D43656">
              <w:t>ays</w:t>
            </w:r>
            <w:r w:rsidR="00A23BFB">
              <w:t xml:space="preserve"> or more</w:t>
            </w:r>
            <w:r w:rsidR="00D43656">
              <w:t xml:space="preserve"> </w:t>
            </w:r>
            <w:r w:rsidR="00B5463E">
              <w:t>after</w:t>
            </w:r>
            <w:r w:rsidR="00D43656">
              <w:t xml:space="preserve"> </w:t>
            </w:r>
            <w:r w:rsidR="00E72C74">
              <w:t xml:space="preserve">the </w:t>
            </w:r>
            <w:r w:rsidR="00D7163C">
              <w:t xml:space="preserve">Award </w:t>
            </w:r>
            <w:r w:rsidR="00D43656">
              <w:t>End Date</w:t>
            </w:r>
          </w:p>
        </w:tc>
        <w:tc>
          <w:tcPr>
            <w:tcW w:w="6366" w:type="dxa"/>
          </w:tcPr>
          <w:p w:rsidR="00D43656" w:rsidRDefault="00AB0C14" w:rsidP="00951C3B">
            <w:pPr>
              <w:spacing w:before="100" w:beforeAutospacing="1" w:after="100" w:afterAutospacing="1"/>
            </w:pPr>
            <w:r>
              <w:t>30 d</w:t>
            </w:r>
            <w:r w:rsidR="00E72C74">
              <w:t xml:space="preserve">ays </w:t>
            </w:r>
            <w:r>
              <w:t>pri</w:t>
            </w:r>
            <w:r w:rsidR="000C717A">
              <w:t>or to the Sponsor deadline (e.g.</w:t>
            </w:r>
            <w:r>
              <w:t xml:space="preserve">, 60 days </w:t>
            </w:r>
            <w:r w:rsidR="00E72C74">
              <w:t>after the</w:t>
            </w:r>
            <w:r w:rsidR="00D7163C">
              <w:t xml:space="preserve"> Award</w:t>
            </w:r>
            <w:r w:rsidR="00E72C74">
              <w:t xml:space="preserve"> End Date</w:t>
            </w:r>
            <w:r>
              <w:t xml:space="preserve"> if sponsor deadline is 90 days)</w:t>
            </w:r>
          </w:p>
        </w:tc>
      </w:tr>
      <w:tr w:rsidR="00D43656" w:rsidTr="000C717A">
        <w:tc>
          <w:tcPr>
            <w:tcW w:w="3192" w:type="dxa"/>
          </w:tcPr>
          <w:p w:rsidR="00D43656" w:rsidRDefault="00E32DD6" w:rsidP="00B5463E">
            <w:pPr>
              <w:spacing w:before="100" w:beforeAutospacing="1" w:after="100" w:afterAutospacing="1"/>
            </w:pPr>
            <w:r>
              <w:t>14</w:t>
            </w:r>
            <w:r w:rsidR="00AB0C14">
              <w:t>-59</w:t>
            </w:r>
            <w:r w:rsidR="00D43656">
              <w:t xml:space="preserve"> </w:t>
            </w:r>
            <w:r w:rsidR="00AB0C14">
              <w:t>d</w:t>
            </w:r>
            <w:r w:rsidR="00D43656">
              <w:t xml:space="preserve">ays </w:t>
            </w:r>
            <w:r w:rsidR="00B5463E">
              <w:t>after</w:t>
            </w:r>
            <w:r w:rsidR="00D43656">
              <w:t xml:space="preserve"> </w:t>
            </w:r>
            <w:r w:rsidR="00D7163C">
              <w:t xml:space="preserve">the Award </w:t>
            </w:r>
            <w:r w:rsidR="00D43656">
              <w:t>End Date</w:t>
            </w:r>
          </w:p>
        </w:tc>
        <w:tc>
          <w:tcPr>
            <w:tcW w:w="6366" w:type="dxa"/>
          </w:tcPr>
          <w:p w:rsidR="00D43656" w:rsidRDefault="000C717A" w:rsidP="00951C3B">
            <w:pPr>
              <w:spacing w:before="100" w:beforeAutospacing="1" w:after="100" w:afterAutospacing="1"/>
            </w:pPr>
            <w:r>
              <w:t>Sponsor deadline divided by 2 (e.g., 20 days after the Award End Date if the sponsor deadline is 4</w:t>
            </w:r>
            <w:r w:rsidR="00E72C74">
              <w:t xml:space="preserve">0 </w:t>
            </w:r>
            <w:r>
              <w:t>d</w:t>
            </w:r>
            <w:r w:rsidR="00A23BFB">
              <w:t>ays)</w:t>
            </w:r>
          </w:p>
        </w:tc>
      </w:tr>
      <w:tr w:rsidR="00D43656" w:rsidTr="000C717A">
        <w:tc>
          <w:tcPr>
            <w:tcW w:w="3192" w:type="dxa"/>
          </w:tcPr>
          <w:p w:rsidR="00D43656" w:rsidRDefault="000C717A" w:rsidP="00E32DD6">
            <w:pPr>
              <w:spacing w:before="100" w:beforeAutospacing="1" w:after="100" w:afterAutospacing="1"/>
            </w:pPr>
            <w:r>
              <w:t>14 days or fewer</w:t>
            </w:r>
            <w:r w:rsidR="00D43656">
              <w:t xml:space="preserve"> </w:t>
            </w:r>
            <w:r w:rsidR="00B5463E">
              <w:t>after</w:t>
            </w:r>
            <w:r w:rsidR="00D43656">
              <w:t xml:space="preserve"> </w:t>
            </w:r>
            <w:r w:rsidR="00D7163C">
              <w:t xml:space="preserve">the Award </w:t>
            </w:r>
            <w:r w:rsidR="00D43656">
              <w:t>End Date</w:t>
            </w:r>
          </w:p>
        </w:tc>
        <w:tc>
          <w:tcPr>
            <w:tcW w:w="6366" w:type="dxa"/>
          </w:tcPr>
          <w:p w:rsidR="00D43656" w:rsidRDefault="00E32DD6" w:rsidP="00951C3B">
            <w:pPr>
              <w:spacing w:before="100" w:beforeAutospacing="1" w:after="100" w:afterAutospacing="1"/>
            </w:pPr>
            <w:r>
              <w:t xml:space="preserve"> 7 days prior to the Sponsor deadline (e.g., 7 days </w:t>
            </w:r>
            <w:r w:rsidR="00857237" w:rsidRPr="00857237">
              <w:rPr>
                <w:b/>
              </w:rPr>
              <w:t xml:space="preserve">prior </w:t>
            </w:r>
            <w:r>
              <w:t>to the Award End Date if the sponsor deadline is the Award End Date)</w:t>
            </w:r>
          </w:p>
        </w:tc>
      </w:tr>
    </w:tbl>
    <w:p w:rsidR="008E1296" w:rsidRDefault="008E1296" w:rsidP="008E1296">
      <w:pPr>
        <w:rPr>
          <w:b/>
          <w:sz w:val="28"/>
          <w:szCs w:val="28"/>
        </w:rPr>
      </w:pPr>
    </w:p>
    <w:p w:rsidR="008E1296" w:rsidRDefault="00D43656" w:rsidP="008E1296">
      <w:r w:rsidRPr="008E1296">
        <w:rPr>
          <w:b/>
          <w:sz w:val="28"/>
          <w:szCs w:val="28"/>
        </w:rPr>
        <w:t>Certification of Final Figures</w:t>
      </w:r>
      <w:r w:rsidRPr="008E1296">
        <w:rPr>
          <w:sz w:val="28"/>
          <w:szCs w:val="28"/>
        </w:rPr>
        <w:t>:</w:t>
      </w:r>
      <w:r>
        <w:t xml:space="preserve"> </w:t>
      </w:r>
    </w:p>
    <w:p w:rsidR="008E1296" w:rsidRDefault="008E1296" w:rsidP="008E1296"/>
    <w:p w:rsidR="008E1296" w:rsidRDefault="00D43656" w:rsidP="008E1296">
      <w:r>
        <w:t xml:space="preserve">PIs are required to certify to the </w:t>
      </w:r>
      <w:r w:rsidR="00214209">
        <w:t xml:space="preserve">accuracy of the final figures contained in the </w:t>
      </w:r>
      <w:r w:rsidR="008E1296">
        <w:t xml:space="preserve">fund </w:t>
      </w:r>
      <w:r w:rsidR="00214209">
        <w:t xml:space="preserve">Closeout </w:t>
      </w:r>
      <w:r w:rsidR="00B5463E">
        <w:t>Packet</w:t>
      </w:r>
      <w:r w:rsidR="00214209">
        <w:t>.</w:t>
      </w:r>
      <w:r w:rsidR="008E1296">
        <w:t xml:space="preserve">  </w:t>
      </w:r>
      <w:r w:rsidR="00214209">
        <w:t>PIs may perform th</w:t>
      </w:r>
      <w:r w:rsidR="008E1296">
        <w:t>is certification electronically</w:t>
      </w:r>
      <w:r w:rsidR="00214209">
        <w:t xml:space="preserve"> rather than </w:t>
      </w:r>
      <w:r w:rsidR="008E1296">
        <w:t xml:space="preserve">by </w:t>
      </w:r>
      <w:r w:rsidR="00214209">
        <w:t>hard copy signature.</w:t>
      </w:r>
      <w:r w:rsidR="008E1296">
        <w:t xml:space="preserve">  </w:t>
      </w:r>
    </w:p>
    <w:p w:rsidR="00291A5C" w:rsidRDefault="00214209" w:rsidP="008E1296">
      <w:r>
        <w:t>E-mail certifications are accept</w:t>
      </w:r>
      <w:r w:rsidR="008E1296">
        <w:t>able</w:t>
      </w:r>
      <w:r>
        <w:t xml:space="preserve">. </w:t>
      </w:r>
    </w:p>
    <w:p w:rsidR="008E1296" w:rsidRDefault="008E1296" w:rsidP="008E1296"/>
    <w:p w:rsidR="00214209" w:rsidRDefault="00214209" w:rsidP="00214209">
      <w:r>
        <w:t xml:space="preserve">As you continue to utilize the tool, please do not hesitate to contact your EFM representative with any questions or if you need any additional information. </w:t>
      </w:r>
    </w:p>
    <w:p w:rsidR="00C36824" w:rsidRDefault="00C36824" w:rsidP="00214209"/>
    <w:p w:rsidR="00C36824" w:rsidRDefault="00C36824" w:rsidP="00214209">
      <w:r>
        <w:t>Thank you,</w:t>
      </w:r>
    </w:p>
    <w:p w:rsidR="00C36824" w:rsidRDefault="00C36824" w:rsidP="00214209"/>
    <w:p w:rsidR="00C36824" w:rsidRDefault="00C36824" w:rsidP="00214209">
      <w:r>
        <w:t>Marcia Smith</w:t>
      </w:r>
    </w:p>
    <w:p w:rsidR="00C36824" w:rsidRDefault="00C36824" w:rsidP="00214209">
      <w:r>
        <w:t>Associate Vice Chancellor</w:t>
      </w:r>
    </w:p>
    <w:p w:rsidR="00C36824" w:rsidRDefault="00C36824" w:rsidP="00214209">
      <w:r>
        <w:t>Office of Research Administration</w:t>
      </w:r>
    </w:p>
    <w:sectPr w:rsidR="00C36824" w:rsidSect="00C36824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8631DF"/>
    <w:multiLevelType w:val="hybridMultilevel"/>
    <w:tmpl w:val="2CCE28D6"/>
    <w:lvl w:ilvl="0" w:tplc="FA960A36">
      <w:numFmt w:val="bullet"/>
      <w:lvlText w:val="·"/>
      <w:lvlJc w:val="left"/>
      <w:pPr>
        <w:ind w:left="0" w:hanging="360"/>
      </w:pPr>
      <w:rPr>
        <w:rFonts w:ascii="Times New Roman" w:eastAsiaTheme="minorHAnsi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491455AD"/>
    <w:multiLevelType w:val="hybridMultilevel"/>
    <w:tmpl w:val="3640809E"/>
    <w:lvl w:ilvl="0" w:tplc="FA960A36">
      <w:numFmt w:val="bullet"/>
      <w:lvlText w:val="·"/>
      <w:lvlJc w:val="left"/>
      <w:pPr>
        <w:ind w:left="0" w:hanging="360"/>
      </w:pPr>
      <w:rPr>
        <w:rFonts w:ascii="Times New Roman" w:eastAsiaTheme="minorHAnsi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AD3354"/>
    <w:multiLevelType w:val="hybridMultilevel"/>
    <w:tmpl w:val="84C4DE6A"/>
    <w:lvl w:ilvl="0" w:tplc="D97C0E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4D14F2"/>
    <w:multiLevelType w:val="hybridMultilevel"/>
    <w:tmpl w:val="AAAC1D32"/>
    <w:lvl w:ilvl="0" w:tplc="2120476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1A10749"/>
    <w:multiLevelType w:val="hybridMultilevel"/>
    <w:tmpl w:val="788C32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C3B"/>
    <w:rsid w:val="00026216"/>
    <w:rsid w:val="00034A01"/>
    <w:rsid w:val="000C717A"/>
    <w:rsid w:val="001365EE"/>
    <w:rsid w:val="0018134E"/>
    <w:rsid w:val="001927E0"/>
    <w:rsid w:val="002113BF"/>
    <w:rsid w:val="00214209"/>
    <w:rsid w:val="00291A5C"/>
    <w:rsid w:val="00295BF8"/>
    <w:rsid w:val="003B5261"/>
    <w:rsid w:val="003C3EBB"/>
    <w:rsid w:val="00473274"/>
    <w:rsid w:val="00545525"/>
    <w:rsid w:val="005C1F10"/>
    <w:rsid w:val="005D3EA5"/>
    <w:rsid w:val="006954AE"/>
    <w:rsid w:val="006D0B70"/>
    <w:rsid w:val="00713BB7"/>
    <w:rsid w:val="0074325D"/>
    <w:rsid w:val="007508B3"/>
    <w:rsid w:val="007C3CF4"/>
    <w:rsid w:val="007E1517"/>
    <w:rsid w:val="00857237"/>
    <w:rsid w:val="00876CD9"/>
    <w:rsid w:val="008C58B6"/>
    <w:rsid w:val="008E1296"/>
    <w:rsid w:val="00951C3B"/>
    <w:rsid w:val="00A23BFB"/>
    <w:rsid w:val="00A7182C"/>
    <w:rsid w:val="00A74F6E"/>
    <w:rsid w:val="00AB0C14"/>
    <w:rsid w:val="00B34260"/>
    <w:rsid w:val="00B53CD0"/>
    <w:rsid w:val="00B5463E"/>
    <w:rsid w:val="00B70745"/>
    <w:rsid w:val="00C36824"/>
    <w:rsid w:val="00CE7557"/>
    <w:rsid w:val="00D43656"/>
    <w:rsid w:val="00D62D44"/>
    <w:rsid w:val="00D7163C"/>
    <w:rsid w:val="00DD7B54"/>
    <w:rsid w:val="00DE011F"/>
    <w:rsid w:val="00E05E0D"/>
    <w:rsid w:val="00E0733C"/>
    <w:rsid w:val="00E32DD6"/>
    <w:rsid w:val="00E72C74"/>
    <w:rsid w:val="00E95138"/>
    <w:rsid w:val="00EA39C2"/>
    <w:rsid w:val="00F4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7DD4D1-D992-4321-8F09-832CBC00F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C3B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1C3B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1C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C3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B526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5261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D436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92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cid:image001.jpg@01CADFD5.62CA65A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FDAEDAFD-93F1-4D3A-A9EE-F7585A06AEAF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69862E3-E2CF-4655-A011-68CC96C5F7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16BF0E-6271-4096-8267-46901C82E9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Huron Consulting Group</Company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Jenna Lee</dc:creator>
  <cp:lastModifiedBy>Chu, Karen</cp:lastModifiedBy>
  <cp:revision>2</cp:revision>
  <dcterms:created xsi:type="dcterms:W3CDTF">2018-01-16T20:22:00Z</dcterms:created>
  <dcterms:modified xsi:type="dcterms:W3CDTF">2018-01-16T20:22:00Z</dcterms:modified>
</cp:coreProperties>
</file>